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AA4681" w:rsidRDefault="00AA4681" w:rsidP="00AA4681">
            <w:pPr>
              <w:pStyle w:val="Infotext"/>
              <w:jc w:val="right"/>
              <w:rPr>
                <w:noProof/>
                <w:lang w:eastAsia="en-GB"/>
              </w:rPr>
            </w:pPr>
          </w:p>
          <w:p w:rsidR="00AA4681" w:rsidRDefault="00AA4681" w:rsidP="00AA4681">
            <w:pPr>
              <w:pStyle w:val="Infotext"/>
              <w:jc w:val="right"/>
              <w:rPr>
                <w:noProof/>
                <w:lang w:eastAsia="en-GB"/>
              </w:rPr>
            </w:pPr>
          </w:p>
          <w:p w:rsidR="00507725" w:rsidRDefault="00AA4681" w:rsidP="008D72C2">
            <w:pPr>
              <w:pStyle w:val="Infotext"/>
              <w:rPr>
                <w:rFonts w:ascii="Arial Black" w:hAnsi="Arial Black"/>
                <w:color w:val="999999"/>
                <w:sz w:val="36"/>
                <w:szCs w:val="36"/>
              </w:rPr>
            </w:pPr>
            <w:r>
              <w:rPr>
                <w:noProof/>
                <w:lang w:eastAsia="en-GB"/>
              </w:rPr>
              <w:drawing>
                <wp:inline distT="0" distB="0" distL="0" distR="0">
                  <wp:extent cx="1466850" cy="647700"/>
                  <wp:effectExtent l="0" t="0" r="0" b="0"/>
                  <wp:docPr id="1" name="Picture 1" descr="http://grapevine/docs/DOCUMENTS%20CORPORATE/RNOH%20Trust%20logo%20transparent%20background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evine/docs/DOCUMENTS%20CORPORATE/RNOH%20Trust%20logo%20transparent%20background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47700"/>
                          </a:xfrm>
                          <a:prstGeom prst="rect">
                            <a:avLst/>
                          </a:prstGeom>
                          <a:noFill/>
                          <a:ln>
                            <a:noFill/>
                          </a:ln>
                        </pic:spPr>
                      </pic:pic>
                    </a:graphicData>
                  </a:graphic>
                </wp:inline>
              </w:drawing>
            </w:r>
          </w:p>
          <w:p w:rsidR="00507725" w:rsidRDefault="00507725" w:rsidP="00B75672">
            <w:pPr>
              <w:pStyle w:val="Infotext"/>
              <w:rPr>
                <w:rFonts w:ascii="Arial Black" w:hAnsi="Arial Black"/>
                <w:color w:val="999999"/>
                <w:sz w:val="36"/>
                <w:szCs w:val="36"/>
              </w:rPr>
            </w:pP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8C6232">
            <w:pPr>
              <w:pStyle w:val="Infotext"/>
              <w:rPr>
                <w:rFonts w:ascii="Arial Black" w:hAnsi="Arial Black" w:cs="Arial"/>
                <w:sz w:val="36"/>
                <w:szCs w:val="36"/>
              </w:rPr>
            </w:pPr>
            <w:r>
              <w:rPr>
                <w:rFonts w:ascii="Arial Black" w:hAnsi="Arial Black" w:cs="Arial"/>
                <w:sz w:val="36"/>
                <w:szCs w:val="36"/>
              </w:rPr>
              <w:t xml:space="preserve">HEALTH AND SOCIAL CARE </w:t>
            </w:r>
            <w:r w:rsidR="00CC1569">
              <w:rPr>
                <w:rFonts w:ascii="Arial Black" w:hAnsi="Arial Black" w:cs="Arial"/>
                <w:sz w:val="36"/>
                <w:szCs w:val="36"/>
              </w:rPr>
              <w:t>SCRUTINY SUB-COMMITTEE</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Default="00814000" w:rsidP="008C6232">
            <w:pPr>
              <w:pStyle w:val="Infotext"/>
              <w:tabs>
                <w:tab w:val="left" w:pos="1086"/>
              </w:tabs>
              <w:rPr>
                <w:rFonts w:cs="Arial"/>
              </w:rPr>
            </w:pPr>
            <w:r>
              <w:rPr>
                <w:rFonts w:cs="Arial"/>
              </w:rPr>
              <w:t>12 June 2019</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814000">
            <w:pPr>
              <w:pStyle w:val="Infotext"/>
              <w:rPr>
                <w:rFonts w:cs="Arial"/>
              </w:rPr>
            </w:pPr>
            <w:r>
              <w:rPr>
                <w:rFonts w:cs="Arial"/>
              </w:rPr>
              <w:t>Quality Account</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036698" w:rsidRDefault="00814000" w:rsidP="008C6232">
            <w:pPr>
              <w:pStyle w:val="Infotext"/>
              <w:rPr>
                <w:rFonts w:cs="Arial"/>
              </w:rPr>
            </w:pPr>
            <w:r>
              <w:rPr>
                <w:rFonts w:cs="Arial"/>
              </w:rPr>
              <w:t>Paul Fish, Director of Nursing</w:t>
            </w:r>
            <w:r w:rsidR="008C6232">
              <w:rPr>
                <w:rFonts w:cs="Arial"/>
              </w:rPr>
              <w:t>, RNOH</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5441BD">
            <w:pPr>
              <w:pStyle w:val="Infotext"/>
              <w:rPr>
                <w:rFonts w:cs="Arial"/>
              </w:rPr>
            </w:pPr>
            <w:r>
              <w:rPr>
                <w:rFonts w:cs="Arial"/>
              </w:rPr>
              <w:t>No</w:t>
            </w:r>
          </w:p>
          <w:p w:rsidR="005441BD" w:rsidRDefault="005441BD">
            <w:pPr>
              <w:pStyle w:val="Infotext"/>
              <w:rPr>
                <w:rFonts w:cs="Arial"/>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814000">
            <w:pPr>
              <w:pStyle w:val="Infotext"/>
            </w:pPr>
            <w:r>
              <w:t>Quality Account for Royal National Orthopaedics Hospital NHS Trust</w:t>
            </w:r>
          </w:p>
        </w:tc>
      </w:tr>
    </w:tbl>
    <w:p w:rsidR="005441BD" w:rsidRDefault="005441BD">
      <w:pPr>
        <w:rPr>
          <w:rFonts w:cs="Arial"/>
        </w:rPr>
      </w:pPr>
    </w:p>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5441BD" w:rsidRPr="000D375E" w:rsidRDefault="005441BD" w:rsidP="000D375E">
            <w:pPr>
              <w:jc w:val="both"/>
              <w:rPr>
                <w:color w:val="000000" w:themeColor="text1"/>
              </w:rPr>
            </w:pPr>
            <w:r w:rsidRPr="000D375E">
              <w:rPr>
                <w:color w:val="000000" w:themeColor="text1"/>
              </w:rPr>
              <w:t>This report sets out</w:t>
            </w:r>
            <w:r w:rsidR="00814000" w:rsidRPr="000D375E">
              <w:rPr>
                <w:color w:val="000000" w:themeColor="text1"/>
              </w:rPr>
              <w:t xml:space="preserve"> the Quality Account for Royal National Orthopaedics Hospital for 2018-19. It </w:t>
            </w:r>
            <w:r w:rsidR="000D375E" w:rsidRPr="000D375E">
              <w:rPr>
                <w:color w:val="000000" w:themeColor="text1"/>
              </w:rPr>
              <w:t xml:space="preserve">sets priorities for RNOH for 2019-20 and </w:t>
            </w:r>
            <w:r w:rsidR="00814000" w:rsidRPr="000D375E">
              <w:rPr>
                <w:color w:val="000000" w:themeColor="text1"/>
              </w:rPr>
              <w:t xml:space="preserve">identifies the progress against the quality priorities set in 2017-18. It also identifies performance against </w:t>
            </w:r>
            <w:r w:rsidR="000D375E" w:rsidRPr="000D375E">
              <w:rPr>
                <w:color w:val="000000" w:themeColor="text1"/>
              </w:rPr>
              <w:t>key indicators set by NH Improvement.</w:t>
            </w:r>
          </w:p>
          <w:p w:rsidR="005441BD" w:rsidRDefault="005441BD">
            <w:pPr>
              <w:pStyle w:val="Heading2"/>
            </w:pPr>
          </w:p>
          <w:p w:rsidR="005441BD" w:rsidRDefault="005441BD">
            <w:pPr>
              <w:pStyle w:val="Heading2"/>
            </w:pPr>
            <w:r>
              <w:t xml:space="preserve">Recommendations: </w:t>
            </w:r>
          </w:p>
          <w:p w:rsidR="004E104D" w:rsidRDefault="00814000" w:rsidP="004E104D">
            <w:r>
              <w:t>Require an assurance letter from the chair stating that draft Quality Account was reviewed by member</w:t>
            </w:r>
            <w:r w:rsidR="000D375E">
              <w:t>s</w:t>
            </w:r>
            <w:r>
              <w:t xml:space="preserve"> of the sub-committee to their satisfaction.</w:t>
            </w:r>
          </w:p>
          <w:p w:rsidR="005441BD" w:rsidRDefault="005441BD" w:rsidP="00B46301">
            <w:pPr>
              <w:pStyle w:val="Heading2"/>
            </w:pPr>
          </w:p>
        </w:tc>
      </w:tr>
    </w:tbl>
    <w:p w:rsidR="005441BD" w:rsidRDefault="005441BD" w:rsidP="000064A3">
      <w:pPr>
        <w:pStyle w:val="Heading1"/>
        <w:rPr>
          <w:rFonts w:ascii="Arial" w:hAnsi="Arial"/>
          <w:b/>
          <w:sz w:val="24"/>
          <w:szCs w:val="24"/>
        </w:rPr>
      </w:pPr>
    </w:p>
    <w:p w:rsidR="006377D6" w:rsidRDefault="006377D6" w:rsidP="006377D6"/>
    <w:p w:rsidR="00AA4681" w:rsidRDefault="00AA4681" w:rsidP="006377D6"/>
    <w:p w:rsidR="00AA4681" w:rsidRDefault="00AA4681" w:rsidP="006377D6"/>
    <w:p w:rsidR="008D72C2" w:rsidRDefault="008D72C2" w:rsidP="006377D6"/>
    <w:p w:rsidR="008D72C2" w:rsidRPr="006377D6" w:rsidRDefault="008D72C2" w:rsidP="006377D6">
      <w:bookmarkStart w:id="0" w:name="_GoBack"/>
      <w:bookmarkEnd w:id="0"/>
    </w:p>
    <w:p w:rsidR="005441BD" w:rsidRDefault="005441BD">
      <w:pPr>
        <w:pStyle w:val="Heading1"/>
        <w:jc w:val="both"/>
      </w:pPr>
      <w:r>
        <w:lastRenderedPageBreak/>
        <w:t>Section 2 – Report</w:t>
      </w:r>
    </w:p>
    <w:p w:rsidR="005441BD" w:rsidRDefault="005441BD"/>
    <w:p w:rsidR="005441BD" w:rsidRPr="00EC66EE" w:rsidRDefault="008C6232">
      <w:pPr>
        <w:pStyle w:val="Heading2"/>
        <w:rPr>
          <w:color w:val="000000" w:themeColor="text1"/>
        </w:rPr>
      </w:pPr>
      <w:r>
        <w:rPr>
          <w:color w:val="000000" w:themeColor="text1"/>
        </w:rPr>
        <w:t>Background</w:t>
      </w:r>
    </w:p>
    <w:p w:rsidR="005441BD" w:rsidRPr="00EC66EE" w:rsidRDefault="005441BD">
      <w:pPr>
        <w:rPr>
          <w:color w:val="000000" w:themeColor="text1"/>
        </w:rPr>
      </w:pPr>
    </w:p>
    <w:p w:rsidR="000D375E" w:rsidRPr="00EC66EE" w:rsidRDefault="000D375E" w:rsidP="000D375E">
      <w:pPr>
        <w:spacing w:line="20" w:lineRule="atLeast"/>
        <w:jc w:val="both"/>
        <w:rPr>
          <w:color w:val="000000" w:themeColor="text1"/>
        </w:rPr>
      </w:pPr>
      <w:r w:rsidRPr="00EC66EE">
        <w:rPr>
          <w:color w:val="000000" w:themeColor="text1"/>
        </w:rPr>
        <w:t>Providers of NHS healthcare are required to publish a quality account each year as per the requirements by the Health Act 2009, and the National Health Service (Quality Accounts) Regulations 2010. Quality Accounts help trusts to improve public accountability for the quality of care they provide and engage the leaders in the quality improvement agenda. The requirements for quality accounts are confirmed in a letter published by NHS Improvement every year.</w:t>
      </w:r>
    </w:p>
    <w:p w:rsidR="000D375E" w:rsidRPr="00EC66EE" w:rsidRDefault="000D375E">
      <w:pPr>
        <w:rPr>
          <w:color w:val="000000" w:themeColor="text1"/>
        </w:rPr>
      </w:pPr>
    </w:p>
    <w:p w:rsidR="000D375E" w:rsidRPr="00EC66EE" w:rsidRDefault="000D375E">
      <w:pPr>
        <w:rPr>
          <w:color w:val="000000" w:themeColor="text1"/>
        </w:rPr>
      </w:pPr>
    </w:p>
    <w:p w:rsidR="005441BD" w:rsidRPr="00EC66EE" w:rsidRDefault="005441BD">
      <w:pPr>
        <w:pStyle w:val="Heading2"/>
        <w:rPr>
          <w:color w:val="000000" w:themeColor="text1"/>
        </w:rPr>
      </w:pPr>
      <w:r w:rsidRPr="00EC66EE">
        <w:rPr>
          <w:color w:val="000000" w:themeColor="text1"/>
        </w:rPr>
        <w:t>Current situation</w:t>
      </w:r>
    </w:p>
    <w:p w:rsidR="005441BD" w:rsidRPr="00EC66EE" w:rsidRDefault="005441BD">
      <w:pPr>
        <w:rPr>
          <w:color w:val="000000" w:themeColor="text1"/>
        </w:rPr>
      </w:pPr>
    </w:p>
    <w:p w:rsidR="005441BD" w:rsidRPr="00EC66EE" w:rsidRDefault="000D375E">
      <w:pPr>
        <w:rPr>
          <w:color w:val="000000" w:themeColor="text1"/>
        </w:rPr>
      </w:pPr>
      <w:r w:rsidRPr="00EC66EE">
        <w:rPr>
          <w:color w:val="000000" w:themeColor="text1"/>
        </w:rPr>
        <w:t xml:space="preserve">Draft Quality Account is attached. </w:t>
      </w:r>
      <w:r w:rsidR="00D50E4A">
        <w:rPr>
          <w:color w:val="000000" w:themeColor="text1"/>
        </w:rPr>
        <w:t>T</w:t>
      </w:r>
      <w:r w:rsidRPr="00EC66EE">
        <w:rPr>
          <w:color w:val="000000" w:themeColor="text1"/>
        </w:rPr>
        <w:t>he assurance letter</w:t>
      </w:r>
      <w:r w:rsidR="00D50E4A">
        <w:rPr>
          <w:color w:val="000000" w:themeColor="text1"/>
        </w:rPr>
        <w:t xml:space="preserve"> </w:t>
      </w:r>
      <w:r w:rsidRPr="00EC66EE">
        <w:rPr>
          <w:color w:val="000000" w:themeColor="text1"/>
        </w:rPr>
        <w:t xml:space="preserve">from Health and Social Care Scrutiny Sub-Committee is </w:t>
      </w:r>
      <w:r w:rsidR="00D50E4A">
        <w:rPr>
          <w:color w:val="000000" w:themeColor="text1"/>
        </w:rPr>
        <w:t>required in order to finalise the document</w:t>
      </w:r>
      <w:r w:rsidRPr="00EC66EE">
        <w:rPr>
          <w:color w:val="000000" w:themeColor="text1"/>
        </w:rPr>
        <w:t>.</w:t>
      </w:r>
    </w:p>
    <w:p w:rsidR="000D375E" w:rsidRDefault="000D375E">
      <w:pPr>
        <w:rPr>
          <w:color w:val="0000FF"/>
        </w:rPr>
      </w:pPr>
    </w:p>
    <w:p w:rsidR="005441BD" w:rsidRDefault="005441BD">
      <w:pPr>
        <w:pStyle w:val="Heading2"/>
      </w:pPr>
      <w:r>
        <w:t>Financial Implications</w:t>
      </w:r>
    </w:p>
    <w:p w:rsidR="005441BD" w:rsidRDefault="000D375E" w:rsidP="000D375E">
      <w:pPr>
        <w:rPr>
          <w:rFonts w:cs="Arial"/>
        </w:rPr>
      </w:pPr>
      <w:r>
        <w:t>N</w:t>
      </w:r>
      <w:r w:rsidR="008C6232">
        <w:t>/</w:t>
      </w:r>
      <w:r>
        <w:t>A</w:t>
      </w:r>
    </w:p>
    <w:p w:rsidR="005441BD" w:rsidRDefault="005441BD"/>
    <w:p w:rsidR="005441BD" w:rsidRDefault="005441BD">
      <w:pPr>
        <w:pStyle w:val="Heading2"/>
      </w:pPr>
      <w:r>
        <w:t>Performance Issues</w:t>
      </w:r>
    </w:p>
    <w:p w:rsidR="00480D23" w:rsidRDefault="000D375E" w:rsidP="00480D23">
      <w:r>
        <w:t>N</w:t>
      </w:r>
      <w:r w:rsidR="008C6232">
        <w:t>/</w:t>
      </w:r>
      <w:r>
        <w:t>A</w:t>
      </w:r>
    </w:p>
    <w:p w:rsidR="000D375E" w:rsidRDefault="000D375E" w:rsidP="00480D23"/>
    <w:p w:rsidR="00E446E9" w:rsidRDefault="00E446E9" w:rsidP="00B36547">
      <w:pPr>
        <w:pStyle w:val="Heading2"/>
        <w:keepNext/>
      </w:pPr>
      <w:r w:rsidRPr="00E446E9">
        <w:t>Environmental Impact</w:t>
      </w:r>
    </w:p>
    <w:p w:rsidR="000D375E" w:rsidRDefault="000D375E" w:rsidP="000D375E">
      <w:r>
        <w:t>N</w:t>
      </w:r>
      <w:r w:rsidR="008C6232">
        <w:t>/</w:t>
      </w:r>
      <w:r>
        <w:t>A</w:t>
      </w:r>
    </w:p>
    <w:p w:rsidR="000D375E" w:rsidRPr="000D375E" w:rsidRDefault="000D375E" w:rsidP="000D375E"/>
    <w:p w:rsidR="00915FD6" w:rsidRDefault="00915FD6" w:rsidP="00B36547">
      <w:pPr>
        <w:pStyle w:val="Heading2"/>
        <w:keepNext/>
      </w:pPr>
      <w:r>
        <w:t>Risk Management Implications</w:t>
      </w:r>
    </w:p>
    <w:p w:rsidR="000D375E" w:rsidRDefault="000D375E" w:rsidP="000D375E">
      <w:r>
        <w:t>N</w:t>
      </w:r>
      <w:r w:rsidR="008C6232">
        <w:t>/</w:t>
      </w:r>
      <w:r>
        <w:t>A</w:t>
      </w:r>
    </w:p>
    <w:p w:rsidR="00612A64" w:rsidRDefault="00612A64" w:rsidP="00B36547">
      <w:pPr>
        <w:pStyle w:val="Heading1"/>
        <w:keepNext/>
        <w:rPr>
          <w:b/>
          <w:sz w:val="24"/>
          <w:szCs w:val="24"/>
        </w:rPr>
      </w:pPr>
    </w:p>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8C6232" w:rsidRDefault="005441BD">
      <w:pPr>
        <w:pStyle w:val="Infotext"/>
        <w:rPr>
          <w:rFonts w:cs="Arial"/>
          <w:sz w:val="24"/>
        </w:rPr>
      </w:pPr>
      <w:r w:rsidRPr="000064A3">
        <w:rPr>
          <w:b/>
        </w:rPr>
        <w:t>Contact:</w:t>
      </w:r>
      <w:r>
        <w:t xml:space="preserve">  </w:t>
      </w:r>
      <w:r w:rsidR="00EC66EE">
        <w:rPr>
          <w:rFonts w:cs="Arial"/>
          <w:sz w:val="24"/>
        </w:rPr>
        <w:t xml:space="preserve">Muhammad </w:t>
      </w:r>
      <w:proofErr w:type="spellStart"/>
      <w:r w:rsidR="00EC66EE">
        <w:rPr>
          <w:rFonts w:cs="Arial"/>
          <w:sz w:val="24"/>
        </w:rPr>
        <w:t>Kashif</w:t>
      </w:r>
      <w:proofErr w:type="spellEnd"/>
      <w:r>
        <w:rPr>
          <w:rFonts w:cs="Arial"/>
          <w:sz w:val="24"/>
        </w:rPr>
        <w:t xml:space="preserve">, </w:t>
      </w:r>
      <w:r w:rsidR="00EC66EE">
        <w:rPr>
          <w:rFonts w:cs="Arial"/>
          <w:sz w:val="24"/>
        </w:rPr>
        <w:t>Quality Manager</w:t>
      </w:r>
      <w:r>
        <w:rPr>
          <w:rFonts w:cs="Arial"/>
          <w:sz w:val="24"/>
        </w:rPr>
        <w:t xml:space="preserve">, </w:t>
      </w:r>
      <w:r w:rsidR="008C6232">
        <w:rPr>
          <w:rFonts w:cs="Arial"/>
          <w:sz w:val="24"/>
        </w:rPr>
        <w:t>RNOH</w:t>
      </w:r>
    </w:p>
    <w:p w:rsidR="005441BD" w:rsidRDefault="008C6232">
      <w:pPr>
        <w:pStyle w:val="Infotext"/>
      </w:pPr>
      <w:r>
        <w:rPr>
          <w:rFonts w:cs="Arial"/>
          <w:sz w:val="24"/>
        </w:rPr>
        <w:t xml:space="preserve">Tel: </w:t>
      </w:r>
      <w:r w:rsidR="00EC66EE">
        <w:rPr>
          <w:rFonts w:cs="Arial"/>
          <w:sz w:val="24"/>
        </w:rPr>
        <w:t>020</w:t>
      </w:r>
      <w:r>
        <w:rPr>
          <w:rFonts w:cs="Arial"/>
          <w:sz w:val="24"/>
        </w:rPr>
        <w:t xml:space="preserve"> </w:t>
      </w:r>
      <w:r w:rsidR="00EC66EE">
        <w:rPr>
          <w:rFonts w:cs="Arial"/>
          <w:sz w:val="24"/>
        </w:rPr>
        <w:t>8909</w:t>
      </w:r>
      <w:r>
        <w:rPr>
          <w:rFonts w:cs="Arial"/>
          <w:sz w:val="24"/>
        </w:rPr>
        <w:t xml:space="preserve"> </w:t>
      </w:r>
      <w:r w:rsidR="00EC66EE">
        <w:rPr>
          <w:rFonts w:cs="Arial"/>
          <w:sz w:val="24"/>
        </w:rPr>
        <w:t>5375</w:t>
      </w:r>
    </w:p>
    <w:p w:rsidR="005441BD" w:rsidRDefault="005441BD"/>
    <w:p w:rsidR="005441BD" w:rsidRDefault="005441BD"/>
    <w:p w:rsidR="005441BD" w:rsidRDefault="005441BD">
      <w:pPr>
        <w:pStyle w:val="Infotext"/>
        <w:rPr>
          <w:rFonts w:cs="Arial"/>
          <w:sz w:val="24"/>
        </w:rPr>
      </w:pPr>
      <w:r w:rsidRPr="000064A3">
        <w:rPr>
          <w:b/>
        </w:rPr>
        <w:t>Background Papers:</w:t>
      </w:r>
      <w:r>
        <w:t xml:space="preserve">  </w:t>
      </w:r>
      <w:r w:rsidR="00EC66EE">
        <w:rPr>
          <w:rFonts w:cs="Arial"/>
          <w:sz w:val="24"/>
        </w:rPr>
        <w:t>Quality Account 2017-18</w:t>
      </w:r>
      <w:r w:rsidR="008C6232">
        <w:rPr>
          <w:rFonts w:cs="Arial"/>
          <w:sz w:val="24"/>
        </w:rPr>
        <w:t xml:space="preserve"> (as per the enclosure)</w:t>
      </w:r>
    </w:p>
    <w:p w:rsidR="00937DB5" w:rsidRDefault="00937DB5">
      <w:pPr>
        <w:pStyle w:val="Infotext"/>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14" w:rsidRDefault="00D16E14">
      <w:r>
        <w:separator/>
      </w:r>
    </w:p>
  </w:endnote>
  <w:endnote w:type="continuationSeparator" w:id="0">
    <w:p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14" w:rsidRDefault="00D16E14">
      <w:r>
        <w:separator/>
      </w:r>
    </w:p>
  </w:footnote>
  <w:footnote w:type="continuationSeparator" w:id="0">
    <w:p w:rsidR="00D16E14" w:rsidRDefault="00D1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173ED0"/>
    <w:multiLevelType w:val="hybridMultilevel"/>
    <w:tmpl w:val="CDC4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5"/>
  </w:num>
  <w:num w:numId="4">
    <w:abstractNumId w:val="27"/>
  </w:num>
  <w:num w:numId="5">
    <w:abstractNumId w:val="12"/>
  </w:num>
  <w:num w:numId="6">
    <w:abstractNumId w:val="25"/>
  </w:num>
  <w:num w:numId="7">
    <w:abstractNumId w:val="19"/>
  </w:num>
  <w:num w:numId="8">
    <w:abstractNumId w:val="9"/>
  </w:num>
  <w:num w:numId="9">
    <w:abstractNumId w:val="35"/>
  </w:num>
  <w:num w:numId="10">
    <w:abstractNumId w:val="37"/>
  </w:num>
  <w:num w:numId="11">
    <w:abstractNumId w:val="2"/>
  </w:num>
  <w:num w:numId="12">
    <w:abstractNumId w:val="8"/>
  </w:num>
  <w:num w:numId="13">
    <w:abstractNumId w:val="20"/>
  </w:num>
  <w:num w:numId="14">
    <w:abstractNumId w:val="10"/>
  </w:num>
  <w:num w:numId="15">
    <w:abstractNumId w:val="33"/>
  </w:num>
  <w:num w:numId="16">
    <w:abstractNumId w:val="6"/>
  </w:num>
  <w:num w:numId="17">
    <w:abstractNumId w:val="24"/>
  </w:num>
  <w:num w:numId="18">
    <w:abstractNumId w:val="11"/>
  </w:num>
  <w:num w:numId="19">
    <w:abstractNumId w:val="17"/>
  </w:num>
  <w:num w:numId="20">
    <w:abstractNumId w:val="34"/>
  </w:num>
  <w:num w:numId="21">
    <w:abstractNumId w:val="32"/>
  </w:num>
  <w:num w:numId="22">
    <w:abstractNumId w:val="14"/>
  </w:num>
  <w:num w:numId="23">
    <w:abstractNumId w:val="38"/>
  </w:num>
  <w:num w:numId="24">
    <w:abstractNumId w:val="31"/>
  </w:num>
  <w:num w:numId="25">
    <w:abstractNumId w:val="16"/>
  </w:num>
  <w:num w:numId="26">
    <w:abstractNumId w:val="1"/>
  </w:num>
  <w:num w:numId="27">
    <w:abstractNumId w:val="22"/>
  </w:num>
  <w:num w:numId="28">
    <w:abstractNumId w:val="23"/>
  </w:num>
  <w:num w:numId="29">
    <w:abstractNumId w:val="3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7"/>
  </w:num>
  <w:num w:numId="34">
    <w:abstractNumId w:val="5"/>
  </w:num>
  <w:num w:numId="35">
    <w:abstractNumId w:val="29"/>
  </w:num>
  <w:num w:numId="36">
    <w:abstractNumId w:val="39"/>
  </w:num>
  <w:num w:numId="37">
    <w:abstractNumId w:val="28"/>
  </w:num>
  <w:num w:numId="38">
    <w:abstractNumId w:val="4"/>
  </w:num>
  <w:num w:numId="39">
    <w:abstractNumId w:val="13"/>
  </w:num>
  <w:num w:numId="40">
    <w:abstractNumId w:val="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75CBB"/>
    <w:rsid w:val="000B74AD"/>
    <w:rsid w:val="000D375E"/>
    <w:rsid w:val="000D594C"/>
    <w:rsid w:val="000D59D7"/>
    <w:rsid w:val="000F665E"/>
    <w:rsid w:val="001071C4"/>
    <w:rsid w:val="001120D6"/>
    <w:rsid w:val="00131D9D"/>
    <w:rsid w:val="00141F91"/>
    <w:rsid w:val="00156C33"/>
    <w:rsid w:val="00157787"/>
    <w:rsid w:val="001A6BFF"/>
    <w:rsid w:val="001C1569"/>
    <w:rsid w:val="001C2940"/>
    <w:rsid w:val="001E153E"/>
    <w:rsid w:val="001E282E"/>
    <w:rsid w:val="001E6E71"/>
    <w:rsid w:val="00205B6C"/>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739BF"/>
    <w:rsid w:val="0037540E"/>
    <w:rsid w:val="003A2F0B"/>
    <w:rsid w:val="003D0D09"/>
    <w:rsid w:val="00431C38"/>
    <w:rsid w:val="00480D23"/>
    <w:rsid w:val="00482882"/>
    <w:rsid w:val="0049070E"/>
    <w:rsid w:val="004D7310"/>
    <w:rsid w:val="004E104D"/>
    <w:rsid w:val="00507725"/>
    <w:rsid w:val="005200DF"/>
    <w:rsid w:val="00527689"/>
    <w:rsid w:val="005441BD"/>
    <w:rsid w:val="00587227"/>
    <w:rsid w:val="005961BE"/>
    <w:rsid w:val="005A0494"/>
    <w:rsid w:val="005C49A2"/>
    <w:rsid w:val="005D374F"/>
    <w:rsid w:val="005D3881"/>
    <w:rsid w:val="006003F7"/>
    <w:rsid w:val="00612A64"/>
    <w:rsid w:val="00617F63"/>
    <w:rsid w:val="006377D6"/>
    <w:rsid w:val="0064559E"/>
    <w:rsid w:val="00646696"/>
    <w:rsid w:val="006B5F35"/>
    <w:rsid w:val="006D7C86"/>
    <w:rsid w:val="00713DA0"/>
    <w:rsid w:val="007217F4"/>
    <w:rsid w:val="007444BF"/>
    <w:rsid w:val="00777253"/>
    <w:rsid w:val="00780A65"/>
    <w:rsid w:val="00812664"/>
    <w:rsid w:val="00814000"/>
    <w:rsid w:val="008951A2"/>
    <w:rsid w:val="008C00C6"/>
    <w:rsid w:val="008C6232"/>
    <w:rsid w:val="008D72C2"/>
    <w:rsid w:val="008F1A15"/>
    <w:rsid w:val="00900324"/>
    <w:rsid w:val="00915FD6"/>
    <w:rsid w:val="00930C42"/>
    <w:rsid w:val="009366AD"/>
    <w:rsid w:val="00937DB5"/>
    <w:rsid w:val="00973739"/>
    <w:rsid w:val="009761ED"/>
    <w:rsid w:val="00992464"/>
    <w:rsid w:val="009D1916"/>
    <w:rsid w:val="009F7E5A"/>
    <w:rsid w:val="00A063C8"/>
    <w:rsid w:val="00A1569A"/>
    <w:rsid w:val="00A1579E"/>
    <w:rsid w:val="00A24E62"/>
    <w:rsid w:val="00A3050F"/>
    <w:rsid w:val="00A63868"/>
    <w:rsid w:val="00A656CF"/>
    <w:rsid w:val="00A80F10"/>
    <w:rsid w:val="00AA1879"/>
    <w:rsid w:val="00AA1D1C"/>
    <w:rsid w:val="00AA4681"/>
    <w:rsid w:val="00AB6E5B"/>
    <w:rsid w:val="00B25AF8"/>
    <w:rsid w:val="00B36547"/>
    <w:rsid w:val="00B46301"/>
    <w:rsid w:val="00B50D94"/>
    <w:rsid w:val="00B75672"/>
    <w:rsid w:val="00B776F3"/>
    <w:rsid w:val="00B83D00"/>
    <w:rsid w:val="00B97261"/>
    <w:rsid w:val="00BD0B97"/>
    <w:rsid w:val="00BD6F2D"/>
    <w:rsid w:val="00C236B6"/>
    <w:rsid w:val="00C316E9"/>
    <w:rsid w:val="00C37118"/>
    <w:rsid w:val="00C647A2"/>
    <w:rsid w:val="00C817CB"/>
    <w:rsid w:val="00C928FC"/>
    <w:rsid w:val="00CC1569"/>
    <w:rsid w:val="00CC306F"/>
    <w:rsid w:val="00D107B2"/>
    <w:rsid w:val="00D16E14"/>
    <w:rsid w:val="00D4068D"/>
    <w:rsid w:val="00D50E4A"/>
    <w:rsid w:val="00D86C2E"/>
    <w:rsid w:val="00DA38BD"/>
    <w:rsid w:val="00DB464E"/>
    <w:rsid w:val="00DE0604"/>
    <w:rsid w:val="00DE6CC7"/>
    <w:rsid w:val="00E0775D"/>
    <w:rsid w:val="00E446E9"/>
    <w:rsid w:val="00E55314"/>
    <w:rsid w:val="00E91983"/>
    <w:rsid w:val="00EC66EE"/>
    <w:rsid w:val="00F037DB"/>
    <w:rsid w:val="00F1064F"/>
    <w:rsid w:val="00F12C0A"/>
    <w:rsid w:val="00F45ADF"/>
    <w:rsid w:val="00F63742"/>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248</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1752</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6</cp:revision>
  <cp:lastPrinted>2009-12-01T14:09:00Z</cp:lastPrinted>
  <dcterms:created xsi:type="dcterms:W3CDTF">2019-05-30T08:56:00Z</dcterms:created>
  <dcterms:modified xsi:type="dcterms:W3CDTF">2019-06-03T11:43:00Z</dcterms:modified>
</cp:coreProperties>
</file>